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X.509 Use Cases to Consider</w:t>
      </w:r>
      <w:r/>
    </w:p>
    <w:p>
      <w:r>
        <w:t xml:space="preserve">Trusted Channel/Path</w:t>
      </w:r>
      <w:r/>
    </w:p>
    <w:p>
      <w:pPr>
        <w:pStyle w:val="254"/>
        <w:numPr>
          <w:ilvl w:val="0"/>
          <w:numId w:val="1"/>
        </w:numPr>
      </w:pPr>
      <w:r>
        <w:t xml:space="preserve">(D)TLS Server</w:t>
      </w:r>
      <w:r/>
    </w:p>
    <w:p>
      <w:pPr>
        <w:pStyle w:val="254"/>
        <w:numPr>
          <w:ilvl w:val="0"/>
          <w:numId w:val="1"/>
        </w:numPr>
      </w:pPr>
      <w:r>
        <w:t xml:space="preserve">(D)TLS Client</w:t>
      </w:r>
      <w:r/>
    </w:p>
    <w:p>
      <w:pPr>
        <w:pStyle w:val="254"/>
        <w:numPr>
          <w:ilvl w:val="1"/>
          <w:numId w:val="1"/>
        </w:numPr>
      </w:pPr>
      <w:r>
        <w:t xml:space="preserve">Try to make less restrictive for use-cases, since requirements are written as if the TOE is a web-browser.</w:t>
      </w:r>
      <w:r/>
    </w:p>
    <w:p>
      <w:pPr>
        <w:pStyle w:val="254"/>
        <w:numPr>
          <w:ilvl w:val="0"/>
          <w:numId w:val="1"/>
        </w:numPr>
      </w:pPr>
      <w:r>
        <w:t xml:space="preserve">SSH Server</w:t>
      </w:r>
      <w:r/>
    </w:p>
    <w:p>
      <w:pPr>
        <w:pStyle w:val="254"/>
        <w:numPr>
          <w:ilvl w:val="0"/>
          <w:numId w:val="1"/>
        </w:numPr>
      </w:pPr>
      <w:r>
        <w:t xml:space="preserve">SSH Client</w:t>
      </w:r>
      <w:r/>
    </w:p>
    <w:p>
      <w:pPr>
        <w:pStyle w:val="254"/>
        <w:numPr>
          <w:ilvl w:val="0"/>
          <w:numId w:val="1"/>
        </w:numPr>
      </w:pPr>
      <w:r>
        <w:t xml:space="preserve">IPsec</w:t>
      </w:r>
      <w:r/>
    </w:p>
    <w:p>
      <w:r>
        <w:t xml:space="preserve">Identification Scenarios</w:t>
      </w:r>
      <w:r/>
    </w:p>
    <w:p>
      <w:pPr>
        <w:pStyle w:val="254"/>
        <w:numPr>
          <w:ilvl w:val="0"/>
          <w:numId w:val="3"/>
        </w:numPr>
      </w:pPr>
      <w:r>
        <w:t xml:space="preserve">TOE's own certificate used to identify it to an eternal entity</w:t>
      </w:r>
      <w:r/>
    </w:p>
    <w:p>
      <w:pPr>
        <w:pStyle w:val="254"/>
        <w:numPr>
          <w:ilvl w:val="0"/>
          <w:numId w:val="3"/>
        </w:numPr>
      </w:pPr>
      <w:r>
        <w:t xml:space="preserve">Distributed TOE, intra-TSF identification</w:t>
      </w:r>
      <w:r/>
    </w:p>
    <w:p>
      <w:pPr>
        <w:pStyle w:val="254"/>
        <w:numPr>
          <w:ilvl w:val="0"/>
          <w:numId w:val="3"/>
        </w:numPr>
      </w:pPr>
      <w:r>
        <w:t xml:space="preserve">Non-TOE IT entity identifying itself to the TOE</w:t>
      </w:r>
      <w:r/>
    </w:p>
    <w:p>
      <w:pPr>
        <w:pStyle w:val="254"/>
        <w:numPr>
          <w:ilvl w:val="0"/>
          <w:numId w:val="3"/>
        </w:numPr>
      </w:pPr>
      <w:r>
        <w:t xml:space="preserve">Administrator identifying itself to the TOE</w:t>
      </w:r>
      <w:r/>
    </w:p>
    <w:p>
      <w:pPr>
        <w:pStyle w:val="254"/>
        <w:numPr>
          <w:ilvl w:val="0"/>
          <w:numId w:val="3"/>
        </w:numPr>
      </w:pPr>
      <w:r>
        <w:t xml:space="preserve">Trust Anchor certificate</w:t>
      </w:r>
      <w:r/>
    </w:p>
    <w:p>
      <w:r>
        <w:t xml:space="preserve">Other Use Cases</w:t>
      </w:r>
      <w:r/>
    </w:p>
    <w:p>
      <w:pPr>
        <w:pStyle w:val="254"/>
        <w:numPr>
          <w:ilvl w:val="0"/>
          <w:numId w:val="2"/>
        </w:numPr>
      </w:pPr>
      <w:r>
        <w:t xml:space="preserve">Trusted Update</w:t>
      </w:r>
      <w:r/>
    </w:p>
    <w:p>
      <w:pPr>
        <w:pStyle w:val="254"/>
        <w:numPr>
          <w:ilvl w:val="0"/>
          <w:numId w:val="2"/>
        </w:numPr>
      </w:pPr>
      <w:r>
        <w:t xml:space="preserve">POST</w:t>
      </w:r>
      <w:r/>
    </w:p>
    <w:p>
      <w:pPr>
        <w:pStyle w:val="254"/>
        <w:numPr>
          <w:ilvl w:val="0"/>
          <w:numId w:val="2"/>
        </w:numPr>
      </w:pPr>
      <w:r>
        <w:t xml:space="preserve">SAML - What would SAML be used for? Identification? Certificate validation?</w:t>
      </w:r>
      <w:r/>
    </w:p>
    <w:p>
      <w:pPr>
        <w:pStyle w:val="254"/>
        <w:numPr>
          <w:ilvl w:val="0"/>
          <w:numId w:val="2"/>
        </w:numPr>
      </w:pPr>
      <w:r>
        <w:t xml:space="preserve">Continue to allow "Other?" What requirements should be applied to "Other?"</w:t>
      </w:r>
      <w:r/>
    </w:p>
    <w:p>
      <w:r>
        <w:t xml:space="preserve">Functions</w:t>
      </w:r>
      <w:r/>
    </w:p>
    <w:p>
      <w:pPr>
        <w:pStyle w:val="254"/>
        <w:numPr>
          <w:ilvl w:val="0"/>
          <w:numId w:val="4"/>
        </w:numPr>
      </w:pPr>
      <w:r>
        <w:t xml:space="preserve">Trust Anchor Management</w:t>
      </w:r>
      <w:r/>
    </w:p>
    <w:p>
      <w:pPr>
        <w:pStyle w:val="254"/>
        <w:numPr>
          <w:ilvl w:val="1"/>
          <w:numId w:val="4"/>
        </w:numPr>
      </w:pPr>
      <w:r>
        <w:t xml:space="preserve">Consider cases where only the root is configured and when the full chain is configured.</w:t>
      </w:r>
      <w:r/>
    </w:p>
    <w:p>
      <w:pPr>
        <w:pStyle w:val="254"/>
        <w:numPr>
          <w:ilvl w:val="0"/>
          <w:numId w:val="4"/>
        </w:numPr>
      </w:pPr>
      <w:r>
        <w:t xml:space="preserve">Certificate Validation - Break the certificate validation into clear and separate subfunctions:</w:t>
      </w:r>
      <w:r/>
    </w:p>
    <w:p>
      <w:pPr>
        <w:pStyle w:val="254"/>
        <w:numPr>
          <w:ilvl w:val="1"/>
          <w:numId w:val="4"/>
        </w:numPr>
      </w:pPr>
      <w:r>
        <w:t xml:space="preserve">Revocation checking</w:t>
      </w:r>
      <w:r/>
    </w:p>
    <w:p>
      <w:pPr>
        <w:pStyle w:val="254"/>
        <w:numPr>
          <w:ilvl w:val="2"/>
          <w:numId w:val="4"/>
        </w:numPr>
      </w:pPr>
      <w:r>
        <w:t xml:space="preserve">CRL</w:t>
      </w:r>
      <w:r/>
    </w:p>
    <w:p>
      <w:pPr>
        <w:pStyle w:val="254"/>
        <w:numPr>
          <w:ilvl w:val="3"/>
          <w:numId w:val="4"/>
        </w:numPr>
      </w:pPr>
      <w:r>
        <w:t xml:space="preserve">Delta CRL?</w:t>
      </w:r>
      <w:r/>
    </w:p>
    <w:p>
      <w:pPr>
        <w:pStyle w:val="254"/>
        <w:numPr>
          <w:ilvl w:val="3"/>
          <w:numId w:val="4"/>
        </w:numPr>
      </w:pPr>
      <w:r>
        <w:t xml:space="preserve">Maximum Next Update allowance?</w:t>
      </w:r>
      <w:r/>
    </w:p>
    <w:p>
      <w:pPr>
        <w:pStyle w:val="254"/>
        <w:numPr>
          <w:ilvl w:val="3"/>
          <w:numId w:val="4"/>
        </w:numPr>
      </w:pPr>
      <w:r>
        <w:t xml:space="preserve">Restrictions/specification of CRL signing trust anchor?</w:t>
      </w:r>
      <w:r/>
    </w:p>
    <w:p>
      <w:pPr>
        <w:pStyle w:val="254"/>
        <w:numPr>
          <w:ilvl w:val="2"/>
          <w:numId w:val="4"/>
        </w:numPr>
      </w:pPr>
      <w:r>
        <w:t xml:space="preserve">OCSP</w:t>
      </w:r>
      <w:r/>
    </w:p>
    <w:p>
      <w:pPr>
        <w:pStyle w:val="254"/>
        <w:numPr>
          <w:ilvl w:val="3"/>
          <w:numId w:val="4"/>
        </w:numPr>
      </w:pPr>
      <w:r>
        <w:t xml:space="preserve">test nextUpdate?</w:t>
      </w:r>
      <w:r/>
    </w:p>
    <w:p>
      <w:pPr>
        <w:pStyle w:val="254"/>
        <w:numPr>
          <w:ilvl w:val="2"/>
          <w:numId w:val="4"/>
        </w:numPr>
      </w:pPr>
      <w:r>
        <w:t xml:space="preserve">OCSP Stapling - what are the known issues?</w:t>
      </w:r>
      <w:r/>
    </w:p>
    <w:p>
      <w:pPr>
        <w:pStyle w:val="254"/>
        <w:numPr>
          <w:ilvl w:val="1"/>
          <w:numId w:val="4"/>
        </w:numPr>
      </w:pPr>
      <w:r>
        <w:t xml:space="preserve">Chain length requirements - minimum and maximum allowed chain length?</w:t>
      </w:r>
      <w:r/>
    </w:p>
    <w:p>
      <w:pPr>
        <w:pStyle w:val="254"/>
        <w:numPr>
          <w:ilvl w:val="1"/>
          <w:numId w:val="4"/>
        </w:numPr>
      </w:pPr>
      <w:r>
        <w:t xml:space="preserve">Validity period</w:t>
      </w:r>
      <w:r/>
    </w:p>
    <w:p>
      <w:pPr>
        <w:pStyle w:val="254"/>
        <w:numPr>
          <w:ilvl w:val="1"/>
          <w:numId w:val="4"/>
        </w:numPr>
      </w:pPr>
      <w:r>
        <w:t xml:space="preserve">Key Usage</w:t>
      </w:r>
      <w:r/>
    </w:p>
    <w:p>
      <w:pPr>
        <w:pStyle w:val="254"/>
        <w:numPr>
          <w:ilvl w:val="2"/>
          <w:numId w:val="4"/>
        </w:numPr>
      </w:pPr>
      <w:r>
        <w:t xml:space="preserve">CRL Sign</w:t>
      </w:r>
      <w:r/>
    </w:p>
    <w:p>
      <w:pPr>
        <w:pStyle w:val="254"/>
        <w:numPr>
          <w:ilvl w:val="2"/>
          <w:numId w:val="4"/>
        </w:numPr>
      </w:pPr>
      <w:r>
        <w:t xml:space="preserve">Certificate Sign</w:t>
      </w:r>
      <w:r/>
    </w:p>
    <w:p>
      <w:pPr>
        <w:pStyle w:val="254"/>
        <w:numPr>
          <w:ilvl w:val="1"/>
          <w:numId w:val="4"/>
        </w:numPr>
      </w:pPr>
      <w:r>
        <w:t xml:space="preserve">Extended Key Usage</w:t>
      </w:r>
      <w:r/>
    </w:p>
    <w:p>
      <w:pPr>
        <w:pStyle w:val="254"/>
        <w:numPr>
          <w:ilvl w:val="2"/>
          <w:numId w:val="4"/>
        </w:numPr>
      </w:pPr>
      <w:r>
        <w:t xml:space="preserve">TLS Web Server</w:t>
      </w:r>
      <w:r/>
    </w:p>
    <w:p>
      <w:pPr>
        <w:pStyle w:val="254"/>
        <w:numPr>
          <w:ilvl w:val="2"/>
          <w:numId w:val="4"/>
        </w:numPr>
      </w:pPr>
      <w:r>
        <w:t xml:space="preserve">TLS Web Client</w:t>
      </w:r>
      <w:r/>
    </w:p>
    <w:p>
      <w:pPr>
        <w:pStyle w:val="254"/>
        <w:numPr>
          <w:ilvl w:val="2"/>
          <w:numId w:val="4"/>
        </w:numPr>
      </w:pPr>
      <w:r>
        <w:t xml:space="preserve">Code Signing</w:t>
      </w:r>
      <w:r/>
    </w:p>
    <w:p>
      <w:pPr>
        <w:pStyle w:val="254"/>
        <w:numPr>
          <w:ilvl w:val="2"/>
          <w:numId w:val="4"/>
        </w:numPr>
      </w:pPr>
      <w:r>
        <w:t xml:space="preserve">IPsec Tunnel</w:t>
      </w:r>
      <w:r/>
    </w:p>
    <w:p>
      <w:pPr>
        <w:pStyle w:val="254"/>
        <w:numPr>
          <w:ilvl w:val="2"/>
          <w:numId w:val="4"/>
        </w:numPr>
      </w:pPr>
      <w:r>
        <w:t xml:space="preserve">IPsec User</w:t>
      </w:r>
      <w:r/>
    </w:p>
    <w:p>
      <w:pPr>
        <w:pStyle w:val="254"/>
        <w:numPr>
          <w:ilvl w:val="2"/>
          <w:numId w:val="4"/>
        </w:numPr>
      </w:pPr>
      <w:r>
        <w:t xml:space="preserve">OCSP Signing</w:t>
      </w:r>
      <w:r/>
    </w:p>
    <w:p>
      <w:pPr>
        <w:pStyle w:val="254"/>
        <w:numPr>
          <w:ilvl w:val="1"/>
          <w:numId w:val="4"/>
        </w:numPr>
      </w:pPr>
      <w:r>
        <w:t xml:space="preserve">Basic Constraints</w:t>
      </w:r>
      <w:r/>
    </w:p>
    <w:p>
      <w:pPr>
        <w:pStyle w:val="254"/>
        <w:numPr>
          <w:ilvl w:val="2"/>
          <w:numId w:val="4"/>
        </w:numPr>
      </w:pPr>
      <w:r>
        <w:t xml:space="preserve">Path Length</w:t>
      </w:r>
      <w:r/>
    </w:p>
    <w:p>
      <w:pPr>
        <w:pStyle w:val="254"/>
        <w:numPr>
          <w:ilvl w:val="2"/>
          <w:numId w:val="4"/>
        </w:numPr>
      </w:pPr>
      <w:r>
        <w:t xml:space="preserve">CA=TRUE</w:t>
      </w:r>
      <w:r/>
    </w:p>
    <w:p>
      <w:pPr>
        <w:pStyle w:val="254"/>
        <w:numPr>
          <w:ilvl w:val="2"/>
          <w:numId w:val="4"/>
        </w:numPr>
      </w:pPr>
      <w:r>
        <w:t xml:space="preserve">CA=FALSE (i.e. end entity)</w:t>
      </w:r>
      <w:r/>
    </w:p>
    <w:p>
      <w:pPr>
        <w:pStyle w:val="254"/>
        <w:numPr>
          <w:ilvl w:val="1"/>
          <w:numId w:val="4"/>
        </w:numPr>
      </w:pPr>
      <w:r>
        <w:t xml:space="preserve">Timing of validation - based on the trusted channel, identification scenario, and/or other use case validation should be allowed to take place at different times.</w:t>
      </w:r>
      <w:r/>
    </w:p>
    <w:p>
      <w:pPr>
        <w:pStyle w:val="254"/>
        <w:numPr>
          <w:ilvl w:val="1"/>
          <w:numId w:val="4"/>
        </w:numPr>
      </w:pPr>
      <w:r>
        <w:t xml:space="preserve">Signature algorithm, hash algorithm, key size requirements</w:t>
      </w:r>
      <w:r/>
    </w:p>
    <w:p>
      <w:pPr>
        <w:pStyle w:val="254"/>
        <w:numPr>
          <w:ilvl w:val="1"/>
          <w:numId w:val="4"/>
        </w:numPr>
      </w:pPr>
      <w:r>
        <w:t xml:space="preserve">Overrides:</w:t>
      </w:r>
      <w:r/>
    </w:p>
    <w:p>
      <w:pPr>
        <w:pStyle w:val="254"/>
        <w:numPr>
          <w:ilvl w:val="2"/>
          <w:numId w:val="4"/>
        </w:numPr>
      </w:pPr>
      <w:r>
        <w:t xml:space="preserve">What can automatically be bypassed by the TOE (e.g. inability to perform revocation check)?</w:t>
      </w:r>
      <w:r/>
    </w:p>
    <w:p>
      <w:pPr>
        <w:pStyle w:val="254"/>
        <w:numPr>
          <w:ilvl w:val="2"/>
          <w:numId w:val="4"/>
        </w:numPr>
      </w:pPr>
      <w:r>
        <w:t xml:space="preserve">What can be bypassed by an administrator? Should it be a temporary or permanent override?</w:t>
      </w:r>
      <w:r/>
    </w:p>
    <w:p>
      <w:pPr>
        <w:pStyle w:val="254"/>
        <w:numPr>
          <w:ilvl w:val="0"/>
          <w:numId w:val="6"/>
        </w:numPr>
      </w:pPr>
      <w:r>
        <w:t xml:space="preserve">Certificate Request Messages</w:t>
      </w:r>
      <w:r/>
    </w:p>
    <w:p>
      <w:pPr>
        <w:pStyle w:val="254"/>
        <w:numPr>
          <w:ilvl w:val="1"/>
          <w:numId w:val="6"/>
        </w:numPr>
      </w:pPr>
      <w:r>
        <w:t xml:space="preserve">Specify the inclusion of Extended Key Usage (when appropriate)</w:t>
      </w:r>
      <w:r/>
    </w:p>
    <w:p>
      <w:pPr>
        <w:pStyle w:val="254"/>
        <w:numPr>
          <w:ilvl w:val="1"/>
          <w:numId w:val="6"/>
        </w:numPr>
      </w:pPr>
      <w:r>
        <w:t xml:space="preserve">SCEP - Simple Certificate Enrollment Protocol</w:t>
      </w:r>
      <w:r/>
    </w:p>
    <w:p>
      <w:pPr>
        <w:pStyle w:val="254"/>
        <w:numPr>
          <w:ilvl w:val="0"/>
          <w:numId w:val="6"/>
        </w:numPr>
      </w:pPr>
      <w:r>
        <w:t xml:space="preserve">Audit Generation</w:t>
      </w:r>
      <w:r/>
    </w:p>
    <w:p>
      <w:pPr>
        <w:pStyle w:val="254"/>
        <w:numPr>
          <w:ilvl w:val="1"/>
          <w:numId w:val="6"/>
        </w:numPr>
      </w:pPr>
      <w:r>
        <w:t xml:space="preserve">Identifiers for failed validation - along with reason</w:t>
      </w:r>
      <w:r/>
    </w:p>
    <w:p>
      <w:r>
        <w:t xml:space="preserve">Identification Methods</w:t>
      </w:r>
      <w:r/>
    </w:p>
    <w:p>
      <w:pPr>
        <w:pStyle w:val="254"/>
        <w:numPr>
          <w:ilvl w:val="0"/>
          <w:numId w:val="5"/>
        </w:numPr>
      </w:pPr>
      <w:r>
        <w:t xml:space="preserve">Certificate Pinning</w:t>
      </w:r>
      <w:r/>
    </w:p>
    <w:p>
      <w:pPr>
        <w:pStyle w:val="254"/>
        <w:numPr>
          <w:ilvl w:val="0"/>
          <w:numId w:val="5"/>
        </w:numPr>
      </w:pPr>
      <w:r>
        <w:t xml:space="preserve">Self-Signed certificates</w:t>
      </w:r>
      <w:r/>
    </w:p>
    <w:p>
      <w:pPr>
        <w:pStyle w:val="254"/>
        <w:numPr>
          <w:ilvl w:val="0"/>
          <w:numId w:val="5"/>
        </w:numPr>
      </w:pPr>
      <w:r>
        <w:t xml:space="preserve">Signed by a specific CA</w:t>
      </w:r>
      <w:r/>
    </w:p>
    <w:p>
      <w:pPr>
        <w:pStyle w:val="254"/>
        <w:numPr>
          <w:ilvl w:val="0"/>
          <w:numId w:val="5"/>
        </w:numPr>
      </w:pPr>
      <w:r>
        <w:t xml:space="preserve">DN - what does this mean exactly? Is a DN that only has a CN in it acceptable?</w:t>
      </w:r>
      <w:r/>
    </w:p>
    <w:p>
      <w:pPr>
        <w:pStyle w:val="254"/>
        <w:numPr>
          <w:ilvl w:val="0"/>
          <w:numId w:val="5"/>
        </w:numPr>
      </w:pPr>
      <w:r>
        <w:t xml:space="preserve">SAN</w:t>
      </w:r>
      <w:r/>
    </w:p>
    <w:p>
      <w:pPr>
        <w:pStyle w:val="254"/>
        <w:numPr>
          <w:ilvl w:val="1"/>
          <w:numId w:val="5"/>
        </w:numPr>
      </w:pPr>
      <w:r>
        <w:t xml:space="preserve">FQDN</w:t>
      </w:r>
      <w:r/>
    </w:p>
    <w:p>
      <w:pPr>
        <w:pStyle w:val="254"/>
        <w:numPr>
          <w:ilvl w:val="1"/>
          <w:numId w:val="5"/>
        </w:numPr>
      </w:pPr>
      <w:r>
        <w:t xml:space="preserve">URI</w:t>
      </w:r>
      <w:r/>
    </w:p>
    <w:p>
      <w:pPr>
        <w:pStyle w:val="254"/>
        <w:numPr>
          <w:ilvl w:val="1"/>
          <w:numId w:val="5"/>
        </w:numPr>
      </w:pPr>
      <w:r>
        <w:t xml:space="preserve">IP</w:t>
      </w:r>
      <w:r/>
    </w:p>
    <w:p>
      <w:pPr>
        <w:pStyle w:val="254"/>
        <w:numPr>
          <w:ilvl w:val="1"/>
          <w:numId w:val="5"/>
        </w:numPr>
      </w:pPr>
      <w:r>
        <w:t xml:space="preserve">email/user FQDN</w:t>
      </w:r>
      <w:r/>
    </w:p>
    <w:p>
      <w:pPr>
        <w:pStyle w:val="254"/>
        <w:numPr>
          <w:ilvl w:val="1"/>
          <w:numId w:val="5"/>
        </w:numPr>
      </w:pPr>
      <w:r/>
      <w:r/>
    </w:p>
    <w:p>
      <w:pPr>
        <w:pStyle w:val="254"/>
        <w:numPr>
          <w:ilvl w:val="0"/>
          <w:numId w:val="5"/>
        </w:numPr>
      </w:pPr>
      <w:r>
        <w:t xml:space="preserve">CN</w:t>
      </w:r>
      <w:r/>
    </w:p>
    <w:p>
      <w:pPr>
        <w:pStyle w:val="254"/>
        <w:numPr>
          <w:ilvl w:val="0"/>
          <w:numId w:val="5"/>
        </w:numPr>
      </w:pPr>
      <w:r>
        <w:t xml:space="preserve">unstructuredName</w:t>
      </w:r>
      <w:r/>
    </w:p>
    <w:p>
      <w:pPr>
        <w:pStyle w:val="254"/>
        <w:numPr>
          <w:ilvl w:val="0"/>
          <w:numId w:val="5"/>
        </w:numPr>
      </w:pPr>
      <w:r>
        <w:t xml:space="preserve">Wildcards - where should these be allowed?</w:t>
      </w:r>
      <w:r/>
    </w:p>
    <w:p>
      <w:pPr>
        <w:pStyle w:val="254"/>
        <w:numPr>
          <w:ilvl w:val="0"/>
          <w:numId w:val="5"/>
        </w:numPr>
      </w:pPr>
      <w:r>
        <w:t xml:space="preserve">External authorization of the presented identifier (e.g. directory server)</w:t>
      </w:r>
      <w:r/>
    </w:p>
    <w:sectPr>
      <w:footnotePr/>
      <w:type w:val="nextPage"/>
      <w:pgSz w:w="11906" w:h="16838"/>
      <w:pgMar w:top="1134" w:right="850" w:bottom="1134" w:left="1701" w:gutter="0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20" w:hanging="357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7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7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7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7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7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7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7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7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color w:val="auto"/>
        <w:spacing w:val="0"/>
        <w:position w:val="0"/>
        <w:sz w:val="22"/>
        <w:szCs w:val="22"/>
        <w:lang w:val="en-US" w:bidi="ar-SA" w:eastAsia="en-US"/>
      </w:rPr>
    </w:rPrDefault>
    <w:pPrDefault>
      <w:pPr>
        <w:ind w:left="0" w:right="0" w:hanging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3">
    <w:name w:val="Title Char"/>
    <w:basedOn w:val="255"/>
    <w:link w:val="208"/>
    <w:uiPriority w:val="10"/>
    <w:rPr>
      <w:sz w:val="48"/>
      <w:szCs w:val="48"/>
    </w:rPr>
  </w:style>
  <w:style w:type="character" w:styleId="35">
    <w:name w:val="Subtitle Char"/>
    <w:basedOn w:val="255"/>
    <w:link w:val="209"/>
    <w:uiPriority w:val="11"/>
    <w:rPr>
      <w:sz w:val="24"/>
      <w:szCs w:val="24"/>
    </w:rPr>
  </w:style>
  <w:style w:type="character" w:styleId="37">
    <w:name w:val="Quote Char"/>
    <w:link w:val="210"/>
    <w:uiPriority w:val="29"/>
    <w:rPr>
      <w:i/>
    </w:rPr>
  </w:style>
  <w:style w:type="character" w:styleId="39">
    <w:name w:val="Intense Quote Char"/>
    <w:link w:val="211"/>
    <w:uiPriority w:val="30"/>
    <w:rPr>
      <w:i/>
    </w:rPr>
  </w:style>
  <w:style w:type="character" w:styleId="41">
    <w:name w:val="Header Char"/>
    <w:basedOn w:val="255"/>
    <w:link w:val="212"/>
    <w:uiPriority w:val="99"/>
  </w:style>
  <w:style w:type="character" w:styleId="43">
    <w:name w:val="Footer Char"/>
    <w:basedOn w:val="255"/>
    <w:link w:val="213"/>
    <w:uiPriority w:val="99"/>
  </w:style>
  <w:style w:type="paragraph" w:styleId="190">
    <w:name w:val="Heading 1"/>
    <w:basedOn w:val="250"/>
    <w:next w:val="250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91">
    <w:name w:val="Heading 1 Char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92">
    <w:name w:val="Heading 2"/>
    <w:basedOn w:val="250"/>
    <w:next w:val="250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93">
    <w:name w:val="Heading 2 Char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94">
    <w:name w:val="Heading 3"/>
    <w:basedOn w:val="250"/>
    <w:next w:val="250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95">
    <w:name w:val="Heading 3 Char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96">
    <w:name w:val="Heading 4"/>
    <w:basedOn w:val="250"/>
    <w:next w:val="250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97">
    <w:name w:val="Heading 4 Char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98">
    <w:name w:val="Heading 5"/>
    <w:basedOn w:val="250"/>
    <w:next w:val="250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199">
    <w:name w:val="Heading 5 Char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200">
    <w:name w:val="Heading 6"/>
    <w:basedOn w:val="250"/>
    <w:next w:val="250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201">
    <w:name w:val="Heading 6 Char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202">
    <w:name w:val="Heading 7"/>
    <w:basedOn w:val="250"/>
    <w:next w:val="250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203">
    <w:name w:val="Heading 7 Char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204">
    <w:name w:val="Heading 8"/>
    <w:basedOn w:val="250"/>
    <w:next w:val="250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205">
    <w:name w:val="Heading 8 Char"/>
    <w:uiPriority w:val="9"/>
    <w:rPr>
      <w:rFonts w:ascii="Arial" w:hAnsi="Arial" w:cs="Arial" w:eastAsia="Arial"/>
      <w:color w:val="444444"/>
      <w:sz w:val="24"/>
      <w:szCs w:val="24"/>
    </w:rPr>
  </w:style>
  <w:style w:type="paragraph" w:styleId="206">
    <w:name w:val="Heading 9"/>
    <w:basedOn w:val="250"/>
    <w:next w:val="250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207">
    <w:name w:val="Heading 9 Char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208">
    <w:name w:val="Title"/>
    <w:basedOn w:val="250"/>
    <w:next w:val="250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209">
    <w:name w:val="Subtitle"/>
    <w:basedOn w:val="250"/>
    <w:next w:val="250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210">
    <w:name w:val="Quote"/>
    <w:basedOn w:val="250"/>
    <w:next w:val="250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211">
    <w:name w:val="Intense Quote"/>
    <w:basedOn w:val="250"/>
    <w:next w:val="250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212">
    <w:name w:val="Header"/>
    <w:basedOn w:val="250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213">
    <w:name w:val="Footer"/>
    <w:basedOn w:val="250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214">
    <w:name w:val="Table Grid"/>
    <w:basedOn w:val="25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5">
    <w:name w:val="Lined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16">
    <w:name w:val="Lined - Accent 1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7">
    <w:name w:val="Lined - Accent 2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18">
    <w:name w:val="Lined - Accent 3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19">
    <w:name w:val="Lined - Accent 4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20">
    <w:name w:val="Lined - Accent 5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21">
    <w:name w:val="Lined - Accent 6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22">
    <w:name w:val="Bordered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23">
    <w:name w:val="Bordered - Accent 1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24">
    <w:name w:val="Bordered - Accent 2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25">
    <w:name w:val="Bordered - Accent 3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26">
    <w:name w:val="Bordered - Accent 4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27">
    <w:name w:val="Bordered - Accent 5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28">
    <w:name w:val="Bordered - Accent 6"/>
    <w:basedOn w:val="2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29">
    <w:name w:val="Bordered &amp; Lined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30">
    <w:name w:val="Bordered &amp; Lined - Accent 1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31">
    <w:name w:val="Bordered &amp; Lined - Accent 2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32">
    <w:name w:val="Bordered &amp; Lined - Accent 3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33">
    <w:name w:val="Bordered &amp; Lined - Accent 4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34">
    <w:name w:val="Bordered &amp; Lined - Accent 5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35">
    <w:name w:val="Bordered &amp; Lined - Accent 6"/>
    <w:basedOn w:val="25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36">
    <w:name w:val="Hyperlink"/>
    <w:uiPriority w:val="99"/>
    <w:unhideWhenUsed/>
    <w:rPr>
      <w:color w:val="0000FF" w:themeColor="hyperlink"/>
      <w:u w:val="single"/>
    </w:rPr>
  </w:style>
  <w:style w:type="paragraph" w:styleId="237">
    <w:name w:val="footnote text"/>
    <w:basedOn w:val="250"/>
    <w:uiPriority w:val="99"/>
    <w:semiHidden/>
    <w:unhideWhenUsed/>
    <w:rPr>
      <w:sz w:val="20"/>
    </w:rPr>
    <w:pPr>
      <w:spacing w:lineRule="auto" w:line="240" w:after="0"/>
    </w:pPr>
  </w:style>
  <w:style w:type="character" w:styleId="238">
    <w:name w:val="Footnote Text Char"/>
    <w:uiPriority w:val="99"/>
    <w:semiHidden/>
    <w:rPr>
      <w:sz w:val="20"/>
    </w:rPr>
  </w:style>
  <w:style w:type="character" w:styleId="239">
    <w:name w:val="footnote reference"/>
    <w:uiPriority w:val="99"/>
    <w:semiHidden/>
    <w:unhideWhenUsed/>
    <w:rPr>
      <w:vertAlign w:val="superscript"/>
    </w:rPr>
  </w:style>
  <w:style w:type="paragraph" w:styleId="240">
    <w:name w:val="toc 1"/>
    <w:basedOn w:val="250"/>
    <w:next w:val="250"/>
    <w:uiPriority w:val="39"/>
    <w:unhideWhenUsed/>
    <w:pPr>
      <w:ind w:left="0" w:right="0" w:hanging="0"/>
      <w:spacing w:after="57"/>
    </w:pPr>
  </w:style>
  <w:style w:type="paragraph" w:styleId="241">
    <w:name w:val="toc 2"/>
    <w:basedOn w:val="250"/>
    <w:next w:val="250"/>
    <w:uiPriority w:val="39"/>
    <w:unhideWhenUsed/>
    <w:pPr>
      <w:ind w:left="283" w:right="0" w:hanging="0"/>
      <w:spacing w:after="57"/>
    </w:pPr>
  </w:style>
  <w:style w:type="paragraph" w:styleId="242">
    <w:name w:val="toc 3"/>
    <w:basedOn w:val="250"/>
    <w:next w:val="250"/>
    <w:uiPriority w:val="39"/>
    <w:unhideWhenUsed/>
    <w:pPr>
      <w:ind w:left="567" w:right="0" w:hanging="0"/>
      <w:spacing w:after="57"/>
    </w:pPr>
  </w:style>
  <w:style w:type="paragraph" w:styleId="243">
    <w:name w:val="toc 4"/>
    <w:basedOn w:val="250"/>
    <w:next w:val="250"/>
    <w:uiPriority w:val="39"/>
    <w:unhideWhenUsed/>
    <w:pPr>
      <w:ind w:left="850" w:right="0" w:hanging="0"/>
      <w:spacing w:after="57"/>
    </w:pPr>
  </w:style>
  <w:style w:type="paragraph" w:styleId="244">
    <w:name w:val="toc 5"/>
    <w:basedOn w:val="250"/>
    <w:next w:val="250"/>
    <w:uiPriority w:val="39"/>
    <w:unhideWhenUsed/>
    <w:pPr>
      <w:ind w:left="1134" w:right="0" w:hanging="0"/>
      <w:spacing w:after="57"/>
    </w:pPr>
  </w:style>
  <w:style w:type="paragraph" w:styleId="245">
    <w:name w:val="toc 6"/>
    <w:basedOn w:val="250"/>
    <w:next w:val="250"/>
    <w:uiPriority w:val="39"/>
    <w:unhideWhenUsed/>
    <w:pPr>
      <w:ind w:left="1417" w:right="0" w:hanging="0"/>
      <w:spacing w:after="57"/>
    </w:pPr>
  </w:style>
  <w:style w:type="paragraph" w:styleId="246">
    <w:name w:val="toc 7"/>
    <w:basedOn w:val="250"/>
    <w:next w:val="250"/>
    <w:uiPriority w:val="39"/>
    <w:unhideWhenUsed/>
    <w:pPr>
      <w:ind w:left="1701" w:right="0" w:hanging="0"/>
      <w:spacing w:after="57"/>
    </w:pPr>
  </w:style>
  <w:style w:type="paragraph" w:styleId="247">
    <w:name w:val="toc 8"/>
    <w:basedOn w:val="250"/>
    <w:next w:val="250"/>
    <w:uiPriority w:val="39"/>
    <w:unhideWhenUsed/>
    <w:pPr>
      <w:ind w:left="1984" w:right="0" w:hanging="0"/>
      <w:spacing w:after="57"/>
    </w:pPr>
  </w:style>
  <w:style w:type="paragraph" w:styleId="248">
    <w:name w:val="toc 9"/>
    <w:basedOn w:val="250"/>
    <w:next w:val="250"/>
    <w:uiPriority w:val="39"/>
    <w:unhideWhenUsed/>
    <w:pPr>
      <w:ind w:left="2268" w:right="0" w:hanging="0"/>
      <w:spacing w:after="57"/>
    </w:pPr>
  </w:style>
  <w:style w:type="paragraph" w:styleId="249">
    <w:name w:val="TOC Heading"/>
    <w:uiPriority w:val="39"/>
    <w:unhideWhenUsed/>
  </w:style>
  <w:style w:type="paragraph" w:styleId="250" w:default="1">
    <w:name w:val="Normal"/>
    <w:qFormat/>
  </w:style>
  <w:style w:type="table" w:styleId="2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52" w:default="1">
    <w:name w:val="No List"/>
    <w:uiPriority w:val="99"/>
    <w:semiHidden/>
    <w:unhideWhenUsed/>
  </w:style>
  <w:style w:type="paragraph" w:styleId="253">
    <w:name w:val="No Spacing"/>
    <w:basedOn w:val="250"/>
    <w:qFormat/>
    <w:uiPriority w:val="1"/>
    <w:pPr>
      <w:spacing w:lineRule="auto" w:line="240" w:after="0"/>
    </w:pPr>
  </w:style>
  <w:style w:type="paragraph" w:styleId="254">
    <w:name w:val="List Paragraph"/>
    <w:basedOn w:val="250"/>
    <w:qFormat/>
    <w:uiPriority w:val="34"/>
    <w:pPr>
      <w:contextualSpacing w:val="true"/>
      <w:ind w:left="720"/>
    </w:pPr>
  </w:style>
  <w:style w:type="character" w:styleId="25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ONLYOFFICE/5.2.6.3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